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8035" w14:textId="02B5599B" w:rsidR="00A21DE6" w:rsidRPr="00E016C5" w:rsidRDefault="00A21DE6" w:rsidP="00A21DE6">
      <w:pPr>
        <w:tabs>
          <w:tab w:val="left" w:pos="3330"/>
        </w:tabs>
        <w:jc w:val="center"/>
        <w:rPr>
          <w:rFonts w:ascii="Noto IKEA Latin" w:hAnsi="Noto IKEA Latin"/>
          <w:b/>
          <w:bCs/>
          <w:sz w:val="20"/>
          <w:szCs w:val="20"/>
        </w:rPr>
      </w:pPr>
      <w:r w:rsidRPr="00E016C5">
        <w:rPr>
          <w:rFonts w:ascii="Noto IKEA Latin" w:hAnsi="Noto IKEA Latin"/>
          <w:b/>
          <w:bCs/>
          <w:sz w:val="20"/>
          <w:szCs w:val="20"/>
        </w:rPr>
        <w:t>PLAFONAREA PREȚURILOR ȘI COMPENSAREA FACTURILOR LA ENERGIE</w:t>
      </w:r>
    </w:p>
    <w:p w14:paraId="023B5299" w14:textId="77777777" w:rsidR="00A21DE6" w:rsidRPr="00E016C5" w:rsidRDefault="00A21DE6" w:rsidP="00A21DE6">
      <w:pPr>
        <w:tabs>
          <w:tab w:val="left" w:pos="3330"/>
        </w:tabs>
        <w:jc w:val="center"/>
        <w:rPr>
          <w:rFonts w:ascii="Noto IKEA Latin" w:hAnsi="Noto IKEA Latin"/>
          <w:sz w:val="20"/>
          <w:szCs w:val="20"/>
        </w:rPr>
      </w:pPr>
    </w:p>
    <w:p w14:paraId="21D76DF0" w14:textId="77777777" w:rsidR="00A21DE6" w:rsidRPr="00E016C5" w:rsidRDefault="00A21DE6" w:rsidP="00A21DE6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Potrivit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Legii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nr. 259/2021 </w:t>
      </w:r>
      <w:proofErr w:type="spellStart"/>
      <w:r w:rsidRPr="00E016C5">
        <w:rPr>
          <w:rFonts w:ascii="Noto IKEA Latin" w:hAnsi="Noto IKEA Latin"/>
          <w:sz w:val="20"/>
          <w:szCs w:val="20"/>
        </w:rPr>
        <w:t>privind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aprobarea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Ordonanţei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Urgenţă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nr. 118/2021 </w:t>
      </w:r>
      <w:proofErr w:type="spellStart"/>
      <w:r w:rsidRPr="00E016C5">
        <w:rPr>
          <w:rFonts w:ascii="Noto IKEA Latin" w:hAnsi="Noto IKEA Latin"/>
          <w:sz w:val="20"/>
          <w:szCs w:val="20"/>
        </w:rPr>
        <w:t>privind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stabilirea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unei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scheme de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pentru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consumul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electrică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şi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gaze </w:t>
      </w:r>
      <w:proofErr w:type="spellStart"/>
      <w:r w:rsidRPr="00E016C5">
        <w:rPr>
          <w:rFonts w:ascii="Noto IKEA Latin" w:hAnsi="Noto IKEA Latin"/>
          <w:sz w:val="20"/>
          <w:szCs w:val="20"/>
        </w:rPr>
        <w:t>naturale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pentru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sezonul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rece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2021-2022 (OUG nr. 118/2021), precum </w:t>
      </w:r>
      <w:proofErr w:type="spellStart"/>
      <w:r w:rsidRPr="00E016C5">
        <w:rPr>
          <w:rFonts w:ascii="Noto IKEA Latin" w:hAnsi="Noto IKEA Latin"/>
          <w:sz w:val="20"/>
          <w:szCs w:val="20"/>
        </w:rPr>
        <w:t>şi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pentru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completarea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Ordonanţei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Guvernului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nr. 27/1996 </w:t>
      </w:r>
      <w:proofErr w:type="spellStart"/>
      <w:r w:rsidRPr="00E016C5">
        <w:rPr>
          <w:rFonts w:ascii="Noto IKEA Latin" w:hAnsi="Noto IKEA Latin"/>
          <w:sz w:val="20"/>
          <w:szCs w:val="20"/>
        </w:rPr>
        <w:t>privind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acordarea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facilităţi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persoanelor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care </w:t>
      </w:r>
      <w:proofErr w:type="spellStart"/>
      <w:r w:rsidRPr="00E016C5">
        <w:rPr>
          <w:rFonts w:ascii="Noto IKEA Latin" w:hAnsi="Noto IKEA Latin"/>
          <w:sz w:val="20"/>
          <w:szCs w:val="20"/>
        </w:rPr>
        <w:t>domiciliază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sau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lucrează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în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unele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localităţi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din </w:t>
      </w:r>
      <w:proofErr w:type="spellStart"/>
      <w:r w:rsidRPr="00E016C5">
        <w:rPr>
          <w:rFonts w:ascii="Noto IKEA Latin" w:hAnsi="Noto IKEA Latin"/>
          <w:sz w:val="20"/>
          <w:szCs w:val="20"/>
        </w:rPr>
        <w:t>Munţii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Apuseni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şi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în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Rezervaţia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Biosferei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''Delta </w:t>
      </w:r>
      <w:proofErr w:type="spellStart"/>
      <w:r w:rsidRPr="00E016C5">
        <w:rPr>
          <w:rFonts w:ascii="Noto IKEA Latin" w:hAnsi="Noto IKEA Latin"/>
          <w:sz w:val="20"/>
          <w:szCs w:val="20"/>
        </w:rPr>
        <w:t>Dunării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'', au </w:t>
      </w:r>
      <w:proofErr w:type="spellStart"/>
      <w:r w:rsidRPr="00E016C5">
        <w:rPr>
          <w:rFonts w:ascii="Noto IKEA Latin" w:hAnsi="Noto IKEA Latin"/>
          <w:sz w:val="20"/>
          <w:szCs w:val="20"/>
        </w:rPr>
        <w:t>fost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stabilite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pentru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perioada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1 </w:t>
      </w:r>
      <w:proofErr w:type="spellStart"/>
      <w:r w:rsidRPr="00E016C5">
        <w:rPr>
          <w:rFonts w:ascii="Noto IKEA Latin" w:hAnsi="Noto IKEA Latin"/>
          <w:sz w:val="20"/>
          <w:szCs w:val="20"/>
        </w:rPr>
        <w:t>noiembrie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2021 – 31 </w:t>
      </w:r>
      <w:proofErr w:type="spellStart"/>
      <w:r w:rsidRPr="00E016C5">
        <w:rPr>
          <w:rFonts w:ascii="Noto IKEA Latin" w:hAnsi="Noto IKEA Latin"/>
          <w:sz w:val="20"/>
          <w:szCs w:val="20"/>
        </w:rPr>
        <w:t>martie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2022 </w:t>
      </w:r>
      <w:proofErr w:type="gramStart"/>
      <w:r w:rsidRPr="00E016C5">
        <w:rPr>
          <w:rFonts w:ascii="Noto IKEA Latin" w:hAnsi="Noto IKEA Latin"/>
          <w:sz w:val="20"/>
          <w:szCs w:val="20"/>
        </w:rPr>
        <w:t>(,,</w:t>
      </w:r>
      <w:proofErr w:type="spellStart"/>
      <w:proofErr w:type="gramEnd"/>
      <w:r w:rsidRPr="00E016C5">
        <w:rPr>
          <w:rFonts w:ascii="Noto IKEA Latin" w:hAnsi="Noto IKEA Latin"/>
          <w:sz w:val="20"/>
          <w:szCs w:val="20"/>
        </w:rPr>
        <w:t>Sezonul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rece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”) </w:t>
      </w:r>
      <w:proofErr w:type="spellStart"/>
      <w:r w:rsidRPr="00E016C5">
        <w:rPr>
          <w:rFonts w:ascii="Noto IKEA Latin" w:hAnsi="Noto IKEA Latin"/>
          <w:sz w:val="20"/>
          <w:szCs w:val="20"/>
        </w:rPr>
        <w:t>anumite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masuri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temporare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sprijin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in </w:t>
      </w:r>
      <w:proofErr w:type="spellStart"/>
      <w:r w:rsidRPr="00E016C5">
        <w:rPr>
          <w:rFonts w:ascii="Noto IKEA Latin" w:hAnsi="Noto IKEA Latin"/>
          <w:sz w:val="20"/>
          <w:szCs w:val="20"/>
        </w:rPr>
        <w:t>domeniul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energiei</w:t>
      </w:r>
      <w:proofErr w:type="spellEnd"/>
      <w:r w:rsidRPr="00E016C5">
        <w:rPr>
          <w:rFonts w:ascii="Noto IKEA Latin" w:hAnsi="Noto IKEA Latin"/>
          <w:sz w:val="20"/>
          <w:szCs w:val="20"/>
        </w:rPr>
        <w:t>.</w:t>
      </w:r>
    </w:p>
    <w:p w14:paraId="7E1BE55F" w14:textId="38DC6F68" w:rsidR="001432F4" w:rsidRPr="00E016C5" w:rsidRDefault="001432F4" w:rsidP="00AE1817">
      <w:pPr>
        <w:rPr>
          <w:rFonts w:ascii="Noto IKEA Latin" w:hAnsi="Noto IKEA Latin"/>
          <w:sz w:val="20"/>
          <w:szCs w:val="20"/>
        </w:rPr>
      </w:pPr>
    </w:p>
    <w:p w14:paraId="7BAABF9D" w14:textId="2370F368" w:rsidR="00A21DE6" w:rsidRDefault="00A64CA9" w:rsidP="00A21DE6">
      <w:pPr>
        <w:pStyle w:val="ListParagraph"/>
        <w:numPr>
          <w:ilvl w:val="0"/>
          <w:numId w:val="5"/>
        </w:num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 xml:space="preserve">Schema de </w:t>
      </w:r>
      <w:proofErr w:type="spellStart"/>
      <w:r w:rsidRPr="00E016C5">
        <w:rPr>
          <w:rFonts w:ascii="Noto IKEA Latin" w:hAnsi="Noto IKEA Latin"/>
          <w:sz w:val="20"/>
          <w:szCs w:val="20"/>
        </w:rPr>
        <w:t>sprijin</w:t>
      </w:r>
      <w:proofErr w:type="spellEnd"/>
    </w:p>
    <w:p w14:paraId="3F36A8E9" w14:textId="77777777" w:rsidR="00E016C5" w:rsidRPr="00E016C5" w:rsidRDefault="00E016C5" w:rsidP="00E016C5">
      <w:pPr>
        <w:rPr>
          <w:rFonts w:ascii="Noto IKEA Latin" w:hAnsi="Noto IKEA Latin"/>
          <w:sz w:val="20"/>
          <w:szCs w:val="20"/>
        </w:rPr>
      </w:pPr>
    </w:p>
    <w:p w14:paraId="043615AB" w14:textId="24B8CEF6" w:rsidR="00D515A9" w:rsidRPr="00E016C5" w:rsidRDefault="00D515A9" w:rsidP="00E016C5">
      <w:pPr>
        <w:ind w:left="360"/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Plafonarea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preţurilor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la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electrica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gaze </w:t>
      </w:r>
      <w:proofErr w:type="spellStart"/>
      <w:r w:rsidRPr="00E016C5">
        <w:rPr>
          <w:rFonts w:ascii="Noto IKEA Latin" w:hAnsi="Noto IKEA Latin"/>
          <w:sz w:val="20"/>
          <w:szCs w:val="20"/>
        </w:rPr>
        <w:t>naturale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aplicabilă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doar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dacă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în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contractul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tău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furnizare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există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un </w:t>
      </w:r>
      <w:proofErr w:type="spellStart"/>
      <w:r w:rsidRPr="00E016C5">
        <w:rPr>
          <w:rFonts w:ascii="Noto IKEA Latin" w:hAnsi="Noto IKEA Latin"/>
          <w:sz w:val="20"/>
          <w:szCs w:val="20"/>
        </w:rPr>
        <w:t>preţ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mai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mare </w:t>
      </w:r>
      <w:proofErr w:type="spellStart"/>
      <w:r w:rsidRPr="00E016C5">
        <w:rPr>
          <w:rFonts w:ascii="Noto IKEA Latin" w:hAnsi="Noto IKEA Latin"/>
          <w:sz w:val="20"/>
          <w:szCs w:val="20"/>
        </w:rPr>
        <w:t>decât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preţul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plafonat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. </w:t>
      </w:r>
    </w:p>
    <w:p w14:paraId="10AC93FF" w14:textId="432FFFB1" w:rsidR="00D515A9" w:rsidRPr="00E016C5" w:rsidRDefault="00D515A9" w:rsidP="00E016C5">
      <w:pPr>
        <w:ind w:left="360"/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Compensarea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facturilor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electrica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şi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gaze </w:t>
      </w:r>
      <w:proofErr w:type="spellStart"/>
      <w:r w:rsidRPr="00E016C5">
        <w:rPr>
          <w:rFonts w:ascii="Noto IKEA Latin" w:hAnsi="Noto IKEA Latin"/>
          <w:sz w:val="20"/>
          <w:szCs w:val="20"/>
        </w:rPr>
        <w:t>naturale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daca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indeplineşti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criteriile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necesare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pe </w:t>
      </w:r>
      <w:proofErr w:type="spellStart"/>
      <w:r w:rsidRPr="00E016C5">
        <w:rPr>
          <w:rFonts w:ascii="Noto IKEA Latin" w:hAnsi="Noto IKEA Latin"/>
          <w:sz w:val="20"/>
          <w:szCs w:val="20"/>
        </w:rPr>
        <w:t>perioada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1 </w:t>
      </w:r>
      <w:proofErr w:type="spellStart"/>
      <w:r w:rsidRPr="00E016C5">
        <w:rPr>
          <w:rFonts w:ascii="Noto IKEA Latin" w:hAnsi="Noto IKEA Latin"/>
          <w:sz w:val="20"/>
          <w:szCs w:val="20"/>
        </w:rPr>
        <w:t>noiembrie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2021 – 31 </w:t>
      </w:r>
      <w:proofErr w:type="spellStart"/>
      <w:r w:rsidRPr="00E016C5">
        <w:rPr>
          <w:rFonts w:ascii="Noto IKEA Latin" w:hAnsi="Noto IKEA Latin"/>
          <w:sz w:val="20"/>
          <w:szCs w:val="20"/>
        </w:rPr>
        <w:t>martie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2022. </w:t>
      </w:r>
    </w:p>
    <w:p w14:paraId="70E42D0D" w14:textId="5AD9854D" w:rsidR="00A64CA9" w:rsidRPr="00E016C5" w:rsidRDefault="00D515A9" w:rsidP="00D515A9">
      <w:pPr>
        <w:ind w:left="360"/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 xml:space="preserve">In </w:t>
      </w:r>
      <w:proofErr w:type="spellStart"/>
      <w:r w:rsidRPr="00E016C5">
        <w:rPr>
          <w:rFonts w:ascii="Noto IKEA Latin" w:hAnsi="Noto IKEA Latin"/>
          <w:sz w:val="20"/>
          <w:szCs w:val="20"/>
        </w:rPr>
        <w:t>primul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rand se</w:t>
      </w:r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aplica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plafonarea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preturilor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iar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ulterior schema de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facturilor</w:t>
      </w:r>
      <w:proofErr w:type="spellEnd"/>
      <w:r w:rsidRPr="00E016C5">
        <w:rPr>
          <w:rFonts w:ascii="Noto IKEA Latin" w:hAnsi="Noto IKEA Latin"/>
          <w:sz w:val="20"/>
          <w:szCs w:val="20"/>
        </w:rPr>
        <w:t>.</w:t>
      </w:r>
    </w:p>
    <w:p w14:paraId="65DBB602" w14:textId="38E25F2A" w:rsidR="00EE5F14" w:rsidRPr="00E016C5" w:rsidRDefault="00EE5F14" w:rsidP="00D515A9">
      <w:pPr>
        <w:ind w:left="360"/>
        <w:rPr>
          <w:rFonts w:ascii="Noto IKEA Latin" w:hAnsi="Noto IKEA Latin"/>
          <w:sz w:val="20"/>
          <w:szCs w:val="20"/>
        </w:rPr>
      </w:pPr>
    </w:p>
    <w:p w14:paraId="5F69B26F" w14:textId="51FA5088" w:rsidR="00EE5F14" w:rsidRPr="00E016C5" w:rsidRDefault="00EE5F14" w:rsidP="00EE5F14">
      <w:pPr>
        <w:pStyle w:val="ListParagraph"/>
        <w:numPr>
          <w:ilvl w:val="0"/>
          <w:numId w:val="5"/>
        </w:num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Beneficiarii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schemei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sprijin</w:t>
      </w:r>
      <w:proofErr w:type="spellEnd"/>
    </w:p>
    <w:p w14:paraId="0AF05F08" w14:textId="66F320C0" w:rsidR="00EE5F14" w:rsidRPr="00E016C5" w:rsidRDefault="00EE5F14" w:rsidP="00EE5F14">
      <w:pPr>
        <w:ind w:left="360"/>
        <w:rPr>
          <w:rFonts w:ascii="Noto IKEA Latin" w:hAnsi="Noto IKEA Latin"/>
          <w:sz w:val="20"/>
          <w:szCs w:val="20"/>
        </w:rPr>
      </w:pPr>
    </w:p>
    <w:p w14:paraId="46EAAF00" w14:textId="6E6AAF99" w:rsidR="00E813E4" w:rsidRPr="00E016C5" w:rsidRDefault="00E813E4" w:rsidP="00E813E4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Clienţii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care </w:t>
      </w:r>
      <w:proofErr w:type="spellStart"/>
      <w:r w:rsidRPr="00E016C5">
        <w:rPr>
          <w:rFonts w:ascii="Noto IKEA Latin" w:hAnsi="Noto IKEA Latin"/>
          <w:sz w:val="20"/>
          <w:szCs w:val="20"/>
        </w:rPr>
        <w:t>folosesc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in scop </w:t>
      </w:r>
      <w:proofErr w:type="spellStart"/>
      <w:r w:rsidRPr="00E016C5">
        <w:rPr>
          <w:rFonts w:ascii="Noto IKEA Latin" w:hAnsi="Noto IKEA Latin"/>
          <w:sz w:val="20"/>
          <w:szCs w:val="20"/>
        </w:rPr>
        <w:t>casnic</w:t>
      </w:r>
      <w:proofErr w:type="spellEnd"/>
      <w:r w:rsidRPr="00E016C5">
        <w:rPr>
          <w:rFonts w:ascii="Noto IKEA Latin" w:hAnsi="Noto IKEA Latin"/>
          <w:sz w:val="20"/>
          <w:szCs w:val="20"/>
        </w:rPr>
        <w:t>.</w:t>
      </w:r>
    </w:p>
    <w:p w14:paraId="34486319" w14:textId="77777777" w:rsidR="00E813E4" w:rsidRPr="00E016C5" w:rsidRDefault="00E813E4" w:rsidP="00E813E4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Clientii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casnici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care </w:t>
      </w:r>
      <w:proofErr w:type="spellStart"/>
      <w:r w:rsidRPr="00E016C5">
        <w:rPr>
          <w:rFonts w:ascii="Noto IKEA Latin" w:hAnsi="Noto IKEA Latin"/>
          <w:sz w:val="20"/>
          <w:szCs w:val="20"/>
        </w:rPr>
        <w:t>beneficiaza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ajutoare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financiare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pentru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consumatorul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vulnerabil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 xml:space="preserve"> de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energie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acordate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 xml:space="preserve"> in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baza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Legii</w:t>
      </w:r>
      <w:proofErr w:type="spellEnd"/>
      <w:r w:rsidRPr="00E016C5">
        <w:rPr>
          <w:rFonts w:ascii="Noto IKEA Latin" w:hAnsi="Noto IKEA Latin" w:cstheme="minorHAnsi"/>
          <w:sz w:val="20"/>
          <w:szCs w:val="20"/>
          <w:shd w:val="clear" w:color="auto" w:fill="FFFFFF"/>
        </w:rPr>
        <w:t> </w:t>
      </w:r>
      <w:hyperlink r:id="rId11" w:tgtFrame="_blank" w:history="1">
        <w:r w:rsidRPr="00E016C5">
          <w:rPr>
            <w:rStyle w:val="Hyperlink"/>
            <w:rFonts w:ascii="Noto IKEA Latin" w:hAnsi="Noto IKEA Latin" w:cstheme="minorHAnsi"/>
            <w:sz w:val="20"/>
            <w:szCs w:val="20"/>
            <w:shd w:val="clear" w:color="auto" w:fill="FFFFFF"/>
          </w:rPr>
          <w:t>nr. 226/2021</w:t>
        </w:r>
      </w:hyperlink>
      <w:r w:rsidRPr="00E016C5">
        <w:rPr>
          <w:rFonts w:ascii="Noto IKEA Latin" w:hAnsi="Noto IKEA Latin" w:cstheme="minorHAnsi"/>
          <w:sz w:val="20"/>
          <w:szCs w:val="20"/>
        </w:rPr>
        <w:t xml:space="preserve"> (</w:t>
      </w:r>
      <w:proofErr w:type="spellStart"/>
      <w:r w:rsidRPr="00E016C5">
        <w:rPr>
          <w:rFonts w:ascii="Noto IKEA Latin" w:hAnsi="Noto IKEA Latin" w:cstheme="minorHAnsi"/>
          <w:sz w:val="20"/>
          <w:szCs w:val="20"/>
        </w:rPr>
        <w:t>a</w:t>
      </w:r>
      <w:r w:rsidRPr="00E016C5">
        <w:rPr>
          <w:rFonts w:ascii="Noto IKEA Latin" w:hAnsi="Noto IKEA Latin"/>
          <w:sz w:val="20"/>
          <w:szCs w:val="20"/>
        </w:rPr>
        <w:t>jutorul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incalzire</w:t>
      </w:r>
      <w:proofErr w:type="spellEnd"/>
      <w:r w:rsidRPr="00E016C5">
        <w:rPr>
          <w:rFonts w:ascii="Noto IKEA Latin" w:hAnsi="Noto IKEA Latin"/>
          <w:sz w:val="20"/>
          <w:szCs w:val="20"/>
        </w:rPr>
        <w:t>)</w:t>
      </w:r>
      <w:r w:rsidRPr="00E016C5">
        <w:rPr>
          <w:rFonts w:ascii="Noto IKEA Latin" w:hAnsi="Noto IKEA Latin" w:cstheme="minorHAnsi"/>
          <w:sz w:val="20"/>
          <w:szCs w:val="20"/>
        </w:rPr>
        <w:t>,</w:t>
      </w:r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facturilor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fi </w:t>
      </w:r>
      <w:proofErr w:type="spellStart"/>
      <w:r w:rsidRPr="00E016C5">
        <w:rPr>
          <w:rFonts w:ascii="Noto IKEA Latin" w:hAnsi="Noto IKEA Latin"/>
          <w:sz w:val="20"/>
          <w:szCs w:val="20"/>
        </w:rPr>
        <w:t>oferita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numai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daca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aceasta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este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mai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mare </w:t>
      </w:r>
      <w:proofErr w:type="spellStart"/>
      <w:r w:rsidRPr="00E016C5">
        <w:rPr>
          <w:rFonts w:ascii="Noto IKEA Latin" w:hAnsi="Noto IKEA Latin"/>
          <w:sz w:val="20"/>
          <w:szCs w:val="20"/>
        </w:rPr>
        <w:t>decat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valoarea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ajutorului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incalzire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. </w:t>
      </w:r>
      <w:proofErr w:type="spellStart"/>
      <w:r w:rsidRPr="00E016C5">
        <w:rPr>
          <w:rFonts w:ascii="Noto IKEA Latin" w:hAnsi="Noto IKEA Latin"/>
          <w:sz w:val="20"/>
          <w:szCs w:val="20"/>
        </w:rPr>
        <w:t>Aşadar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se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beneficia de o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calculata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ca </w:t>
      </w:r>
      <w:proofErr w:type="spellStart"/>
      <w:r w:rsidRPr="00E016C5">
        <w:rPr>
          <w:rFonts w:ascii="Noto IKEA Latin" w:hAnsi="Noto IKEA Latin"/>
          <w:sz w:val="20"/>
          <w:szCs w:val="20"/>
        </w:rPr>
        <w:t>diferenta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intre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valoarea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compensarii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prevazuta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lege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valoarea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ajutorului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incalzire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. </w:t>
      </w:r>
    </w:p>
    <w:p w14:paraId="183C461C" w14:textId="580E9697" w:rsidR="00EE5F14" w:rsidRPr="00E016C5" w:rsidRDefault="00E813E4" w:rsidP="00E016C5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Acesta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valoare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fi </w:t>
      </w:r>
      <w:proofErr w:type="spellStart"/>
      <w:r w:rsidRPr="00E016C5">
        <w:rPr>
          <w:rFonts w:ascii="Noto IKEA Latin" w:hAnsi="Noto IKEA Latin"/>
          <w:sz w:val="20"/>
          <w:szCs w:val="20"/>
        </w:rPr>
        <w:t>calculata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automat </w:t>
      </w:r>
      <w:proofErr w:type="spellStart"/>
      <w:r w:rsidRPr="00E016C5">
        <w:rPr>
          <w:rFonts w:ascii="Noto IKEA Latin" w:hAnsi="Noto IKEA Latin"/>
          <w:sz w:val="20"/>
          <w:szCs w:val="20"/>
        </w:rPr>
        <w:t>si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se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aplica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pe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>.</w:t>
      </w:r>
    </w:p>
    <w:p w14:paraId="66D826DF" w14:textId="43F24D41" w:rsidR="00EE5F14" w:rsidRPr="00E016C5" w:rsidRDefault="00EE5F14" w:rsidP="00D515A9">
      <w:pPr>
        <w:ind w:left="360"/>
        <w:rPr>
          <w:rFonts w:ascii="Noto IKEA Latin" w:hAnsi="Noto IKEA Latin"/>
          <w:sz w:val="20"/>
          <w:szCs w:val="20"/>
        </w:rPr>
      </w:pPr>
    </w:p>
    <w:p w14:paraId="418AA236" w14:textId="38E8FC2A" w:rsidR="00E813E4" w:rsidRPr="00E016C5" w:rsidRDefault="00E813E4" w:rsidP="00E813E4">
      <w:pPr>
        <w:pStyle w:val="ListParagraph"/>
        <w:numPr>
          <w:ilvl w:val="0"/>
          <w:numId w:val="5"/>
        </w:num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Prețul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facturare</w:t>
      </w:r>
      <w:proofErr w:type="spellEnd"/>
    </w:p>
    <w:p w14:paraId="5D1EA51B" w14:textId="24373748" w:rsidR="00E813E4" w:rsidRPr="00E016C5" w:rsidRDefault="00E813E4" w:rsidP="00E813E4">
      <w:pPr>
        <w:rPr>
          <w:rFonts w:ascii="Noto IKEA Latin" w:hAnsi="Noto IKEA Latin"/>
          <w:sz w:val="20"/>
          <w:szCs w:val="20"/>
        </w:rPr>
      </w:pPr>
    </w:p>
    <w:p w14:paraId="0722026A" w14:textId="77777777" w:rsidR="00DF0137" w:rsidRPr="00E016C5" w:rsidRDefault="00DF0137" w:rsidP="00DF0137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Clientii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care </w:t>
      </w:r>
      <w:proofErr w:type="spellStart"/>
      <w:r w:rsidRPr="00E016C5">
        <w:rPr>
          <w:rFonts w:ascii="Noto IKEA Latin" w:hAnsi="Noto IKEA Latin"/>
          <w:sz w:val="20"/>
          <w:szCs w:val="20"/>
        </w:rPr>
        <w:t>folosesc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in scop </w:t>
      </w:r>
      <w:proofErr w:type="spellStart"/>
      <w:r w:rsidRPr="00E016C5">
        <w:rPr>
          <w:rFonts w:ascii="Noto IKEA Latin" w:hAnsi="Noto IKEA Latin"/>
          <w:sz w:val="20"/>
          <w:szCs w:val="20"/>
        </w:rPr>
        <w:t>casnic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beneficia de </w:t>
      </w:r>
      <w:proofErr w:type="spellStart"/>
      <w:r w:rsidRPr="00E016C5">
        <w:rPr>
          <w:rFonts w:ascii="Noto IKEA Latin" w:hAnsi="Noto IKEA Latin"/>
          <w:sz w:val="20"/>
          <w:szCs w:val="20"/>
        </w:rPr>
        <w:t>plafonarea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pretului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la gaze </w:t>
      </w:r>
      <w:proofErr w:type="spellStart"/>
      <w:r w:rsidRPr="00E016C5">
        <w:rPr>
          <w:rFonts w:ascii="Noto IKEA Latin" w:hAnsi="Noto IKEA Latin"/>
          <w:sz w:val="20"/>
          <w:szCs w:val="20"/>
        </w:rPr>
        <w:t>naturale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electrica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daca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in </w:t>
      </w:r>
      <w:proofErr w:type="spellStart"/>
      <w:r w:rsidRPr="00E016C5">
        <w:rPr>
          <w:rFonts w:ascii="Noto IKEA Latin" w:hAnsi="Noto IKEA Latin"/>
          <w:sz w:val="20"/>
          <w:szCs w:val="20"/>
        </w:rPr>
        <w:t>contractul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furnizare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exista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un </w:t>
      </w:r>
      <w:proofErr w:type="spellStart"/>
      <w:r w:rsidRPr="00E016C5">
        <w:rPr>
          <w:rFonts w:ascii="Noto IKEA Latin" w:hAnsi="Noto IKEA Latin"/>
          <w:sz w:val="20"/>
          <w:szCs w:val="20"/>
        </w:rPr>
        <w:t>pret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mai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mare </w:t>
      </w:r>
      <w:proofErr w:type="spellStart"/>
      <w:r w:rsidRPr="00E016C5">
        <w:rPr>
          <w:rFonts w:ascii="Noto IKEA Latin" w:hAnsi="Noto IKEA Latin"/>
          <w:sz w:val="20"/>
          <w:szCs w:val="20"/>
        </w:rPr>
        <w:t>decat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pretul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plafonat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>.</w:t>
      </w:r>
    </w:p>
    <w:p w14:paraId="3EC34CD6" w14:textId="77777777" w:rsidR="00DF0137" w:rsidRPr="00E016C5" w:rsidRDefault="00DF0137" w:rsidP="00DF0137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Pretul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final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gaze </w:t>
      </w:r>
      <w:proofErr w:type="spellStart"/>
      <w:r w:rsidRPr="00E016C5">
        <w:rPr>
          <w:rFonts w:ascii="Noto IKEA Latin" w:hAnsi="Noto IKEA Latin"/>
          <w:sz w:val="20"/>
          <w:szCs w:val="20"/>
        </w:rPr>
        <w:t>naturale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este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plafonat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la 0,37 lei/kWh.</w:t>
      </w:r>
    </w:p>
    <w:p w14:paraId="50B20653" w14:textId="38B23446" w:rsidR="00DF0137" w:rsidRPr="00E016C5" w:rsidRDefault="00DF0137" w:rsidP="00DF0137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Pretul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final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electrică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este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plafonat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la 1 leu/kWh.</w:t>
      </w:r>
    </w:p>
    <w:p w14:paraId="75508E6F" w14:textId="7A13A9EE" w:rsidR="00DF0137" w:rsidRPr="00E016C5" w:rsidRDefault="00DF0137" w:rsidP="00DF0137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Pretul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final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include </w:t>
      </w:r>
      <w:proofErr w:type="spellStart"/>
      <w:r w:rsidRPr="00E016C5">
        <w:rPr>
          <w:rFonts w:ascii="Noto IKEA Latin" w:hAnsi="Noto IKEA Latin"/>
          <w:sz w:val="20"/>
          <w:szCs w:val="20"/>
        </w:rPr>
        <w:t>componenta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pret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gramStart"/>
      <w:r w:rsidRPr="00E016C5">
        <w:rPr>
          <w:rFonts w:ascii="Noto IKEA Latin" w:hAnsi="Noto IKEA Latin"/>
          <w:sz w:val="20"/>
          <w:szCs w:val="20"/>
        </w:rPr>
        <w:t>a</w:t>
      </w:r>
      <w:proofErr w:type="gram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precum </w:t>
      </w:r>
      <w:proofErr w:type="spellStart"/>
      <w:r w:rsidRPr="00E016C5">
        <w:rPr>
          <w:rFonts w:ascii="Noto IKEA Latin" w:hAnsi="Noto IKEA Latin"/>
          <w:sz w:val="20"/>
          <w:szCs w:val="20"/>
        </w:rPr>
        <w:t>si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orice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tarife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taxe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pot fi </w:t>
      </w:r>
      <w:proofErr w:type="spellStart"/>
      <w:r w:rsidRPr="00E016C5">
        <w:rPr>
          <w:rFonts w:ascii="Noto IKEA Latin" w:hAnsi="Noto IKEA Latin"/>
          <w:sz w:val="20"/>
          <w:szCs w:val="20"/>
        </w:rPr>
        <w:t>introduse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inclusiv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TVA.</w:t>
      </w:r>
    </w:p>
    <w:p w14:paraId="5F6B173B" w14:textId="2A67115F" w:rsidR="00DF0137" w:rsidRPr="00E016C5" w:rsidRDefault="00DF0137" w:rsidP="00DF0137">
      <w:pPr>
        <w:rPr>
          <w:rFonts w:ascii="Noto IKEA Latin" w:hAnsi="Noto IKEA Latin"/>
          <w:sz w:val="20"/>
          <w:szCs w:val="20"/>
        </w:rPr>
      </w:pPr>
    </w:p>
    <w:p w14:paraId="4F12224F" w14:textId="43FE7257" w:rsidR="00DF0137" w:rsidRPr="00E016C5" w:rsidRDefault="00DF0137" w:rsidP="00DF0137">
      <w:pPr>
        <w:pStyle w:val="ListParagraph"/>
        <w:numPr>
          <w:ilvl w:val="0"/>
          <w:numId w:val="5"/>
        </w:num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Compensare</w:t>
      </w:r>
      <w:proofErr w:type="spellEnd"/>
    </w:p>
    <w:p w14:paraId="137549DA" w14:textId="47FEF2ED" w:rsidR="00DF0137" w:rsidRPr="00E016C5" w:rsidRDefault="00DF0137" w:rsidP="00DF0137">
      <w:pPr>
        <w:rPr>
          <w:rFonts w:ascii="Noto IKEA Latin" w:hAnsi="Noto IKEA Latin"/>
          <w:sz w:val="20"/>
          <w:szCs w:val="20"/>
        </w:rPr>
      </w:pPr>
    </w:p>
    <w:p w14:paraId="44EE2899" w14:textId="4B87BB7E" w:rsidR="0055258F" w:rsidRPr="00E016C5" w:rsidRDefault="0055258F" w:rsidP="0055258F">
      <w:p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 xml:space="preserve">Se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acorda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o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compensatie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cel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mult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0,291 lei/kWh </w:t>
      </w:r>
      <w:proofErr w:type="spellStart"/>
      <w:r w:rsidRPr="00E016C5">
        <w:rPr>
          <w:rFonts w:ascii="Noto IKEA Latin" w:hAnsi="Noto IKEA Latin"/>
          <w:sz w:val="20"/>
          <w:szCs w:val="20"/>
        </w:rPr>
        <w:t>pentru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electrica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doar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daca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Clientul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indeplineste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simultan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criteriile</w:t>
      </w:r>
      <w:proofErr w:type="spellEnd"/>
      <w:r w:rsidRPr="00E016C5">
        <w:rPr>
          <w:rFonts w:ascii="Noto IKEA Latin" w:hAnsi="Noto IKEA Latin"/>
          <w:sz w:val="20"/>
          <w:szCs w:val="20"/>
        </w:rPr>
        <w:t>:</w:t>
      </w:r>
    </w:p>
    <w:p w14:paraId="7F983CFC" w14:textId="77777777" w:rsidR="0055258F" w:rsidRPr="00E016C5" w:rsidRDefault="0055258F" w:rsidP="0055258F">
      <w:p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 xml:space="preserve">In </w:t>
      </w:r>
      <w:proofErr w:type="spellStart"/>
      <w:r w:rsidRPr="00E016C5">
        <w:rPr>
          <w:rFonts w:ascii="Noto IKEA Latin" w:hAnsi="Noto IKEA Latin"/>
          <w:sz w:val="20"/>
          <w:szCs w:val="20"/>
        </w:rPr>
        <w:t>contractul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furnizare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exista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un </w:t>
      </w:r>
      <w:proofErr w:type="spellStart"/>
      <w:r w:rsidRPr="00E016C5">
        <w:rPr>
          <w:rFonts w:ascii="Noto IKEA Latin" w:hAnsi="Noto IKEA Latin"/>
          <w:sz w:val="20"/>
          <w:szCs w:val="20"/>
        </w:rPr>
        <w:t>pret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mai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mare </w:t>
      </w:r>
      <w:proofErr w:type="spellStart"/>
      <w:r w:rsidRPr="00E016C5">
        <w:rPr>
          <w:rFonts w:ascii="Noto IKEA Latin" w:hAnsi="Noto IKEA Latin"/>
          <w:sz w:val="20"/>
          <w:szCs w:val="20"/>
        </w:rPr>
        <w:t>sau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egal cu 0,68 lei/kWh.</w:t>
      </w:r>
    </w:p>
    <w:p w14:paraId="0E6893B9" w14:textId="77777777" w:rsidR="0055258F" w:rsidRPr="00E016C5" w:rsidRDefault="0055258F" w:rsidP="0055258F">
      <w:pPr>
        <w:rPr>
          <w:rFonts w:ascii="Noto IKEA Latin" w:hAnsi="Noto IKEA Latin"/>
          <w:sz w:val="20"/>
          <w:szCs w:val="20"/>
        </w:rPr>
      </w:pPr>
    </w:p>
    <w:p w14:paraId="6F65E3CB" w14:textId="5D1A52AE" w:rsidR="0055258F" w:rsidRPr="00E016C5" w:rsidRDefault="0055258F" w:rsidP="0055258F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lastRenderedPageBreak/>
        <w:t>Consumul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din </w:t>
      </w:r>
      <w:proofErr w:type="spellStart"/>
      <w:r w:rsidRPr="00E016C5">
        <w:rPr>
          <w:rFonts w:ascii="Noto IKEA Latin" w:hAnsi="Noto IKEA Latin"/>
          <w:sz w:val="20"/>
          <w:szCs w:val="20"/>
        </w:rPr>
        <w:t>perioada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sezonului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rece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se </w:t>
      </w:r>
      <w:proofErr w:type="spellStart"/>
      <w:r w:rsidRPr="00E016C5">
        <w:rPr>
          <w:rFonts w:ascii="Noto IKEA Latin" w:hAnsi="Noto IKEA Latin"/>
          <w:sz w:val="20"/>
          <w:szCs w:val="20"/>
        </w:rPr>
        <w:t>incadrează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în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1.500 kWh, </w:t>
      </w:r>
      <w:proofErr w:type="spellStart"/>
      <w:r w:rsidRPr="00E016C5">
        <w:rPr>
          <w:rFonts w:ascii="Noto IKEA Latin" w:hAnsi="Noto IKEA Latin"/>
          <w:sz w:val="20"/>
          <w:szCs w:val="20"/>
        </w:rPr>
        <w:t>alocat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în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tranşe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lunare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cu o </w:t>
      </w:r>
      <w:proofErr w:type="spellStart"/>
      <w:r w:rsidRPr="00E016C5">
        <w:rPr>
          <w:rFonts w:ascii="Noto IKEA Latin" w:hAnsi="Noto IKEA Latin"/>
          <w:sz w:val="20"/>
          <w:szCs w:val="20"/>
        </w:rPr>
        <w:t>abatere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max. 10%</w:t>
      </w:r>
      <w:r w:rsidR="00E016C5">
        <w:rPr>
          <w:rFonts w:ascii="Noto IKEA Latin" w:hAnsi="Noto IKEA Latin"/>
          <w:sz w:val="20"/>
          <w:szCs w:val="20"/>
        </w:rPr>
        <w:t xml:space="preserve">. </w:t>
      </w:r>
      <w:proofErr w:type="spellStart"/>
      <w:r w:rsidRPr="00E016C5">
        <w:rPr>
          <w:rFonts w:ascii="Noto IKEA Latin" w:hAnsi="Noto IKEA Latin"/>
          <w:sz w:val="20"/>
          <w:szCs w:val="20"/>
        </w:rPr>
        <w:t>Limita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minima a </w:t>
      </w:r>
      <w:proofErr w:type="spellStart"/>
      <w:r w:rsidRPr="00E016C5">
        <w:rPr>
          <w:rFonts w:ascii="Noto IKEA Latin" w:hAnsi="Noto IKEA Latin"/>
          <w:sz w:val="20"/>
          <w:szCs w:val="20"/>
        </w:rPr>
        <w:t>consumului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este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1 kWh/zi.</w:t>
      </w:r>
    </w:p>
    <w:p w14:paraId="1ABA3774" w14:textId="47393FC3" w:rsidR="00DF0137" w:rsidRPr="00E016C5" w:rsidRDefault="0055258F" w:rsidP="0055258F">
      <w:p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 xml:space="preserve">Include </w:t>
      </w:r>
      <w:proofErr w:type="spellStart"/>
      <w:r w:rsidRPr="00E016C5">
        <w:rPr>
          <w:rFonts w:ascii="Noto IKEA Latin" w:hAnsi="Noto IKEA Latin"/>
          <w:sz w:val="20"/>
          <w:szCs w:val="20"/>
        </w:rPr>
        <w:t>tarifele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reglementate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pentru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servicii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rețea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contribuția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pentru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cogenerare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înaltă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eficiență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contravaloarea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certificatelor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verzi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acciză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şi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TVA </w:t>
      </w:r>
      <w:proofErr w:type="spellStart"/>
      <w:r w:rsidRPr="00E016C5">
        <w:rPr>
          <w:rFonts w:ascii="Noto IKEA Latin" w:hAnsi="Noto IKEA Latin"/>
          <w:sz w:val="20"/>
          <w:szCs w:val="20"/>
        </w:rPr>
        <w:t>aplicabile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la data de 30.10.2021.</w:t>
      </w:r>
    </w:p>
    <w:p w14:paraId="7A5008C8" w14:textId="6B6DE4E7" w:rsidR="00003288" w:rsidRPr="00E016C5" w:rsidRDefault="00003288" w:rsidP="0055258F">
      <w:pPr>
        <w:rPr>
          <w:rFonts w:ascii="Noto IKEA Latin" w:hAnsi="Noto IKEA Latin"/>
          <w:sz w:val="20"/>
          <w:szCs w:val="20"/>
        </w:rPr>
      </w:pPr>
    </w:p>
    <w:p w14:paraId="71F362AF" w14:textId="55E2B686" w:rsidR="00003288" w:rsidRDefault="00003288" w:rsidP="00003288">
      <w:pPr>
        <w:pStyle w:val="ListParagraph"/>
        <w:numPr>
          <w:ilvl w:val="0"/>
          <w:numId w:val="5"/>
        </w:num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Particularități</w:t>
      </w:r>
      <w:proofErr w:type="spellEnd"/>
    </w:p>
    <w:p w14:paraId="7581204C" w14:textId="77777777" w:rsidR="00E016C5" w:rsidRPr="00E016C5" w:rsidRDefault="00E016C5" w:rsidP="00E016C5">
      <w:pPr>
        <w:ind w:left="360"/>
        <w:rPr>
          <w:rFonts w:ascii="Noto IKEA Latin" w:hAnsi="Noto IKEA Latin"/>
          <w:sz w:val="20"/>
          <w:szCs w:val="20"/>
        </w:rPr>
      </w:pPr>
    </w:p>
    <w:p w14:paraId="2AA25C29" w14:textId="7AA67906" w:rsidR="00934C67" w:rsidRPr="00E016C5" w:rsidRDefault="00934C67" w:rsidP="00934C67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Compensaţia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acordata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clienţilor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casnici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precum </w:t>
      </w:r>
      <w:proofErr w:type="spellStart"/>
      <w:r w:rsidRPr="00E016C5">
        <w:rPr>
          <w:rFonts w:ascii="Noto IKEA Latin" w:hAnsi="Noto IKEA Latin"/>
          <w:sz w:val="20"/>
          <w:szCs w:val="20"/>
        </w:rPr>
        <w:t>si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elementele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exceptate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la </w:t>
      </w:r>
      <w:proofErr w:type="spellStart"/>
      <w:r w:rsidRPr="00E016C5">
        <w:rPr>
          <w:rFonts w:ascii="Noto IKEA Latin" w:hAnsi="Noto IKEA Latin"/>
          <w:sz w:val="20"/>
          <w:szCs w:val="20"/>
        </w:rPr>
        <w:t>plata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fi </w:t>
      </w:r>
      <w:proofErr w:type="spellStart"/>
      <w:r w:rsidRPr="00E016C5">
        <w:rPr>
          <w:rFonts w:ascii="Noto IKEA Latin" w:hAnsi="Noto IKEA Latin"/>
          <w:sz w:val="20"/>
          <w:szCs w:val="20"/>
        </w:rPr>
        <w:t>evidenţiate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distinct cu </w:t>
      </w:r>
      <w:proofErr w:type="spellStart"/>
      <w:r w:rsidRPr="00E016C5">
        <w:rPr>
          <w:rFonts w:ascii="Noto IKEA Latin" w:hAnsi="Noto IKEA Latin"/>
          <w:sz w:val="20"/>
          <w:szCs w:val="20"/>
        </w:rPr>
        <w:t>semnul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«minus» in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facturile</w:t>
      </w:r>
      <w:proofErr w:type="spellEnd"/>
      <w:r w:rsidRPr="00E016C5">
        <w:rPr>
          <w:rFonts w:ascii="Noto IKEA Latin" w:hAnsi="Noto IKEA Latin"/>
          <w:sz w:val="20"/>
          <w:szCs w:val="20"/>
        </w:rPr>
        <w:t>/</w:t>
      </w:r>
      <w:proofErr w:type="spellStart"/>
      <w:r w:rsidRPr="00E016C5">
        <w:rPr>
          <w:rFonts w:ascii="Noto IKEA Latin" w:hAnsi="Noto IKEA Latin"/>
          <w:sz w:val="20"/>
          <w:szCs w:val="20"/>
        </w:rPr>
        <w:t>anexele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la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facturile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emise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furnizorul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electrica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/gaze </w:t>
      </w:r>
      <w:proofErr w:type="spellStart"/>
      <w:proofErr w:type="gramStart"/>
      <w:r w:rsidRPr="00E016C5">
        <w:rPr>
          <w:rFonts w:ascii="Noto IKEA Latin" w:hAnsi="Noto IKEA Latin"/>
          <w:sz w:val="20"/>
          <w:szCs w:val="20"/>
        </w:rPr>
        <w:t>naturale.Daca</w:t>
      </w:r>
      <w:proofErr w:type="spellEnd"/>
      <w:proofErr w:type="gram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intr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-o </w:t>
      </w:r>
      <w:proofErr w:type="spellStart"/>
      <w:r w:rsidRPr="00E016C5">
        <w:rPr>
          <w:rFonts w:ascii="Noto IKEA Latin" w:hAnsi="Noto IKEA Latin"/>
          <w:sz w:val="20"/>
          <w:szCs w:val="20"/>
        </w:rPr>
        <w:t>luna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din </w:t>
      </w:r>
      <w:proofErr w:type="spellStart"/>
      <w:r w:rsidRPr="00E016C5">
        <w:rPr>
          <w:rFonts w:ascii="Noto IKEA Latin" w:hAnsi="Noto IKEA Latin"/>
          <w:sz w:val="20"/>
          <w:szCs w:val="20"/>
        </w:rPr>
        <w:t>perioada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1 </w:t>
      </w:r>
      <w:proofErr w:type="spellStart"/>
      <w:r w:rsidRPr="00E016C5">
        <w:rPr>
          <w:rFonts w:ascii="Noto IKEA Latin" w:hAnsi="Noto IKEA Latin"/>
          <w:sz w:val="20"/>
          <w:szCs w:val="20"/>
        </w:rPr>
        <w:t>noiembrie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2021 – 31 </w:t>
      </w:r>
      <w:proofErr w:type="spellStart"/>
      <w:r w:rsidRPr="00E016C5">
        <w:rPr>
          <w:rFonts w:ascii="Noto IKEA Latin" w:hAnsi="Noto IKEA Latin"/>
          <w:sz w:val="20"/>
          <w:szCs w:val="20"/>
        </w:rPr>
        <w:t>martie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2022 </w:t>
      </w:r>
      <w:proofErr w:type="spellStart"/>
      <w:r w:rsidRPr="00E016C5">
        <w:rPr>
          <w:rFonts w:ascii="Noto IKEA Latin" w:hAnsi="Noto IKEA Latin"/>
          <w:sz w:val="20"/>
          <w:szCs w:val="20"/>
        </w:rPr>
        <w:t>Clientul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nu </w:t>
      </w:r>
      <w:proofErr w:type="spellStart"/>
      <w:r w:rsidRPr="00E016C5">
        <w:rPr>
          <w:rFonts w:ascii="Noto IKEA Latin" w:hAnsi="Noto IKEA Latin"/>
          <w:sz w:val="20"/>
          <w:szCs w:val="20"/>
        </w:rPr>
        <w:t>indeplineste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conditiile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necesare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consum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in </w:t>
      </w:r>
      <w:proofErr w:type="spellStart"/>
      <w:r w:rsidRPr="00E016C5">
        <w:rPr>
          <w:rFonts w:ascii="Noto IKEA Latin" w:hAnsi="Noto IKEA Latin"/>
          <w:sz w:val="20"/>
          <w:szCs w:val="20"/>
        </w:rPr>
        <w:t>luna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respectiva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acesta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nu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beneficia de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energie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. In </w:t>
      </w:r>
      <w:proofErr w:type="spellStart"/>
      <w:r w:rsidRPr="00E016C5">
        <w:rPr>
          <w:rFonts w:ascii="Noto IKEA Latin" w:hAnsi="Noto IKEA Latin"/>
          <w:sz w:val="20"/>
          <w:szCs w:val="20"/>
        </w:rPr>
        <w:t>ceea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priveşte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regularizarile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consum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acestea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respecta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cadrul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pana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acum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iar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suplimentar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se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mai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face o </w:t>
      </w:r>
      <w:proofErr w:type="spellStart"/>
      <w:r w:rsidRPr="00E016C5">
        <w:rPr>
          <w:rFonts w:ascii="Noto IKEA Latin" w:hAnsi="Noto IKEA Latin"/>
          <w:sz w:val="20"/>
          <w:szCs w:val="20"/>
        </w:rPr>
        <w:t>regularizare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dupa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31 </w:t>
      </w:r>
      <w:proofErr w:type="spellStart"/>
      <w:r w:rsidRPr="00E016C5">
        <w:rPr>
          <w:rFonts w:ascii="Noto IKEA Latin" w:hAnsi="Noto IKEA Latin"/>
          <w:sz w:val="20"/>
          <w:szCs w:val="20"/>
        </w:rPr>
        <w:t>martie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2022, conform </w:t>
      </w:r>
      <w:proofErr w:type="spellStart"/>
      <w:r w:rsidRPr="00E016C5">
        <w:rPr>
          <w:rFonts w:ascii="Noto IKEA Latin" w:hAnsi="Noto IKEA Latin"/>
          <w:sz w:val="20"/>
          <w:szCs w:val="20"/>
        </w:rPr>
        <w:t>prevederilor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din OUG nr. 118/2021.</w:t>
      </w:r>
    </w:p>
    <w:p w14:paraId="31B64D23" w14:textId="77777777" w:rsidR="00934C67" w:rsidRPr="00E016C5" w:rsidRDefault="00934C67" w:rsidP="00934C67">
      <w:p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 xml:space="preserve">In </w:t>
      </w:r>
      <w:proofErr w:type="spellStart"/>
      <w:r w:rsidRPr="00E016C5">
        <w:rPr>
          <w:rFonts w:ascii="Noto IKEA Latin" w:hAnsi="Noto IKEA Latin"/>
          <w:sz w:val="20"/>
          <w:szCs w:val="20"/>
        </w:rPr>
        <w:t>cazul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in care </w:t>
      </w:r>
      <w:proofErr w:type="spellStart"/>
      <w:r w:rsidRPr="00E016C5">
        <w:rPr>
          <w:rFonts w:ascii="Noto IKEA Latin" w:hAnsi="Noto IKEA Latin"/>
          <w:sz w:val="20"/>
          <w:szCs w:val="20"/>
        </w:rPr>
        <w:t>limita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consum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a </w:t>
      </w:r>
      <w:proofErr w:type="spellStart"/>
      <w:r w:rsidRPr="00E016C5">
        <w:rPr>
          <w:rFonts w:ascii="Noto IKEA Latin" w:hAnsi="Noto IKEA Latin"/>
          <w:sz w:val="20"/>
          <w:szCs w:val="20"/>
        </w:rPr>
        <w:t>fost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depasita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regularizare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conţine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toate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sumele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acordate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în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perioada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aplicare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a OUG nr. 118/2021. </w:t>
      </w:r>
      <w:proofErr w:type="spellStart"/>
      <w:r w:rsidRPr="00E016C5">
        <w:rPr>
          <w:rFonts w:ascii="Noto IKEA Latin" w:hAnsi="Noto IKEA Latin"/>
          <w:sz w:val="20"/>
          <w:szCs w:val="20"/>
        </w:rPr>
        <w:t>Astfel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</w:t>
      </w:r>
      <w:proofErr w:type="spellStart"/>
      <w:r w:rsidRPr="00E016C5">
        <w:rPr>
          <w:rFonts w:ascii="Noto IKEA Latin" w:hAnsi="Noto IKEA Latin"/>
          <w:sz w:val="20"/>
          <w:szCs w:val="20"/>
        </w:rPr>
        <w:t>aceste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sume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vor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fi recuperate </w:t>
      </w:r>
      <w:proofErr w:type="spellStart"/>
      <w:r w:rsidRPr="00E016C5">
        <w:rPr>
          <w:rFonts w:ascii="Noto IKEA Latin" w:hAnsi="Noto IKEA Latin"/>
          <w:sz w:val="20"/>
          <w:szCs w:val="20"/>
        </w:rPr>
        <w:t>prin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intermediul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facturii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regularizare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intrucat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nu au </w:t>
      </w:r>
      <w:proofErr w:type="spellStart"/>
      <w:r w:rsidRPr="00E016C5">
        <w:rPr>
          <w:rFonts w:ascii="Noto IKEA Latin" w:hAnsi="Noto IKEA Latin"/>
          <w:sz w:val="20"/>
          <w:szCs w:val="20"/>
        </w:rPr>
        <w:t>fost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respectate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condiţiile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stabilite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lege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pentru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compensarea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facturii</w:t>
      </w:r>
      <w:proofErr w:type="spellEnd"/>
      <w:r w:rsidRPr="00E016C5">
        <w:rPr>
          <w:rFonts w:ascii="Noto IKEA Latin" w:hAnsi="Noto IKEA Latin"/>
          <w:sz w:val="20"/>
          <w:szCs w:val="20"/>
        </w:rPr>
        <w:t>.</w:t>
      </w:r>
    </w:p>
    <w:p w14:paraId="077CC431" w14:textId="34F2CB37" w:rsidR="00003288" w:rsidRPr="00E016C5" w:rsidRDefault="00003288" w:rsidP="00003288">
      <w:pPr>
        <w:rPr>
          <w:rFonts w:ascii="Noto IKEA Latin" w:hAnsi="Noto IKEA Latin"/>
          <w:sz w:val="20"/>
          <w:szCs w:val="20"/>
        </w:rPr>
      </w:pPr>
    </w:p>
    <w:p w14:paraId="5963E0B0" w14:textId="77777777" w:rsidR="00E016C5" w:rsidRPr="00E016C5" w:rsidRDefault="00E016C5" w:rsidP="00E016C5">
      <w:pPr>
        <w:rPr>
          <w:rFonts w:ascii="Noto IKEA Latin" w:hAnsi="Noto IKEA Latin"/>
          <w:sz w:val="20"/>
          <w:szCs w:val="20"/>
        </w:rPr>
      </w:pPr>
      <w:proofErr w:type="spellStart"/>
      <w:r w:rsidRPr="00E016C5">
        <w:rPr>
          <w:rFonts w:ascii="Noto IKEA Latin" w:hAnsi="Noto IKEA Latin"/>
          <w:sz w:val="20"/>
          <w:szCs w:val="20"/>
        </w:rPr>
        <w:t>Solicitarile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de </w:t>
      </w:r>
      <w:proofErr w:type="spellStart"/>
      <w:r w:rsidRPr="00E016C5">
        <w:rPr>
          <w:rFonts w:ascii="Noto IKEA Latin" w:hAnsi="Noto IKEA Latin"/>
          <w:sz w:val="20"/>
          <w:szCs w:val="20"/>
        </w:rPr>
        <w:t>clarificare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eventualele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raspunsuri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la </w:t>
      </w:r>
      <w:proofErr w:type="spellStart"/>
      <w:r w:rsidRPr="00E016C5">
        <w:rPr>
          <w:rFonts w:ascii="Noto IKEA Latin" w:hAnsi="Noto IKEA Latin"/>
          <w:sz w:val="20"/>
          <w:szCs w:val="20"/>
        </w:rPr>
        <w:t>acestea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pot fi </w:t>
      </w:r>
      <w:proofErr w:type="spellStart"/>
      <w:r w:rsidRPr="00E016C5">
        <w:rPr>
          <w:rFonts w:ascii="Noto IKEA Latin" w:hAnsi="Noto IKEA Latin"/>
          <w:sz w:val="20"/>
          <w:szCs w:val="20"/>
        </w:rPr>
        <w:t>transmise</w:t>
      </w:r>
      <w:proofErr w:type="spellEnd"/>
      <w:r w:rsidRPr="00E016C5">
        <w:rPr>
          <w:rFonts w:ascii="Noto IKEA Latin" w:hAnsi="Noto IKEA Latin"/>
          <w:sz w:val="20"/>
          <w:szCs w:val="20"/>
        </w:rPr>
        <w:t>:</w:t>
      </w:r>
    </w:p>
    <w:p w14:paraId="67AFAAB5" w14:textId="77777777" w:rsidR="00E016C5" w:rsidRPr="00E016C5" w:rsidRDefault="00E016C5" w:rsidP="00E016C5">
      <w:pPr>
        <w:rPr>
          <w:rFonts w:ascii="Noto IKEA Latin" w:hAnsi="Noto IKEA Latin"/>
          <w:sz w:val="20"/>
          <w:szCs w:val="20"/>
        </w:rPr>
      </w:pPr>
    </w:p>
    <w:p w14:paraId="5934DBBC" w14:textId="52A2083E" w:rsidR="00E016C5" w:rsidRPr="00E016C5" w:rsidRDefault="00E016C5" w:rsidP="00E016C5">
      <w:p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>a)</w:t>
      </w:r>
      <w:r w:rsidRPr="00E016C5">
        <w:rPr>
          <w:rFonts w:ascii="Noto IKEA Latin" w:hAnsi="Noto IKEA Latin"/>
          <w:sz w:val="20"/>
          <w:szCs w:val="20"/>
        </w:rPr>
        <w:tab/>
      </w:r>
      <w:proofErr w:type="spellStart"/>
      <w:r w:rsidRPr="00E016C5">
        <w:rPr>
          <w:rFonts w:ascii="Noto IKEA Latin" w:hAnsi="Noto IKEA Latin"/>
          <w:sz w:val="20"/>
          <w:szCs w:val="20"/>
        </w:rPr>
        <w:t>prin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email, la </w:t>
      </w:r>
      <w:proofErr w:type="spellStart"/>
      <w:r w:rsidRPr="00E016C5">
        <w:rPr>
          <w:rFonts w:ascii="Noto IKEA Latin" w:hAnsi="Noto IKEA Latin"/>
          <w:sz w:val="20"/>
          <w:szCs w:val="20"/>
        </w:rPr>
        <w:t>adresa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: </w:t>
      </w:r>
      <w:hyperlink r:id="rId12" w:history="1">
        <w:r w:rsidR="00CB272B" w:rsidRPr="00EC0091">
          <w:rPr>
            <w:rStyle w:val="Hyperlink"/>
            <w:rFonts w:ascii="Noto IKEA Latin" w:hAnsi="Noto IKEA Latin"/>
            <w:sz w:val="20"/>
            <w:szCs w:val="20"/>
          </w:rPr>
          <w:t>info@ewind-furnizare.com</w:t>
        </w:r>
      </w:hyperlink>
      <w:r w:rsidR="00CB272B">
        <w:rPr>
          <w:rFonts w:ascii="Noto IKEA Latin" w:hAnsi="Noto IKEA Latin"/>
          <w:sz w:val="20"/>
          <w:szCs w:val="20"/>
        </w:rPr>
        <w:t xml:space="preserve"> </w:t>
      </w:r>
    </w:p>
    <w:p w14:paraId="5BDEB069" w14:textId="77777777" w:rsidR="00E016C5" w:rsidRPr="00E016C5" w:rsidRDefault="00E016C5" w:rsidP="00E016C5">
      <w:p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>b)</w:t>
      </w:r>
      <w:r w:rsidRPr="00E016C5">
        <w:rPr>
          <w:rFonts w:ascii="Noto IKEA Latin" w:hAnsi="Noto IKEA Latin"/>
          <w:sz w:val="20"/>
          <w:szCs w:val="20"/>
        </w:rPr>
        <w:tab/>
      </w:r>
      <w:proofErr w:type="spellStart"/>
      <w:r w:rsidRPr="00E016C5">
        <w:rPr>
          <w:rFonts w:ascii="Noto IKEA Latin" w:hAnsi="Noto IKEA Latin"/>
          <w:sz w:val="20"/>
          <w:szCs w:val="20"/>
        </w:rPr>
        <w:t>prin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fax, la </w:t>
      </w:r>
      <w:proofErr w:type="spellStart"/>
      <w:r w:rsidRPr="00E016C5">
        <w:rPr>
          <w:rFonts w:ascii="Noto IKEA Latin" w:hAnsi="Noto IKEA Latin"/>
          <w:sz w:val="20"/>
          <w:szCs w:val="20"/>
        </w:rPr>
        <w:t>numarul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: </w:t>
      </w:r>
    </w:p>
    <w:p w14:paraId="616AD41F" w14:textId="2C4A13C7" w:rsidR="00E016C5" w:rsidRDefault="00E016C5" w:rsidP="00E016C5">
      <w:pPr>
        <w:rPr>
          <w:rFonts w:ascii="Noto IKEA Latin" w:hAnsi="Noto IKEA Latin"/>
          <w:sz w:val="20"/>
          <w:szCs w:val="20"/>
        </w:rPr>
      </w:pPr>
      <w:r w:rsidRPr="00E016C5">
        <w:rPr>
          <w:rFonts w:ascii="Noto IKEA Latin" w:hAnsi="Noto IKEA Latin"/>
          <w:sz w:val="20"/>
          <w:szCs w:val="20"/>
        </w:rPr>
        <w:t>c)</w:t>
      </w:r>
      <w:r w:rsidRPr="00E016C5">
        <w:rPr>
          <w:rFonts w:ascii="Noto IKEA Latin" w:hAnsi="Noto IKEA Latin"/>
          <w:sz w:val="20"/>
          <w:szCs w:val="20"/>
        </w:rPr>
        <w:tab/>
      </w:r>
      <w:proofErr w:type="spellStart"/>
      <w:r w:rsidRPr="00E016C5">
        <w:rPr>
          <w:rFonts w:ascii="Noto IKEA Latin" w:hAnsi="Noto IKEA Latin"/>
          <w:sz w:val="20"/>
          <w:szCs w:val="20"/>
        </w:rPr>
        <w:t>fizic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sau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prin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Pr="00E016C5">
        <w:rPr>
          <w:rFonts w:ascii="Noto IKEA Latin" w:hAnsi="Noto IKEA Latin"/>
          <w:sz w:val="20"/>
          <w:szCs w:val="20"/>
        </w:rPr>
        <w:t>curier</w:t>
      </w:r>
      <w:proofErr w:type="spellEnd"/>
      <w:r w:rsidRPr="00E016C5">
        <w:rPr>
          <w:rFonts w:ascii="Noto IKEA Latin" w:hAnsi="Noto IKEA Latin"/>
          <w:sz w:val="20"/>
          <w:szCs w:val="20"/>
        </w:rPr>
        <w:t xml:space="preserve">, la </w:t>
      </w:r>
      <w:proofErr w:type="spellStart"/>
      <w:r w:rsidRPr="00E016C5">
        <w:rPr>
          <w:rFonts w:ascii="Noto IKEA Latin" w:hAnsi="Noto IKEA Latin"/>
          <w:sz w:val="20"/>
          <w:szCs w:val="20"/>
        </w:rPr>
        <w:t>sediul</w:t>
      </w:r>
      <w:proofErr w:type="spellEnd"/>
      <w:r w:rsidR="00CB272B">
        <w:rPr>
          <w:rFonts w:ascii="Noto IKEA Latin" w:hAnsi="Noto IKEA Latin"/>
          <w:sz w:val="20"/>
          <w:szCs w:val="20"/>
        </w:rPr>
        <w:t xml:space="preserve">: </w:t>
      </w:r>
      <w:proofErr w:type="spellStart"/>
      <w:r w:rsidR="00CB272B">
        <w:rPr>
          <w:rFonts w:ascii="Noto IKEA Latin" w:hAnsi="Noto IKEA Latin"/>
          <w:sz w:val="20"/>
          <w:szCs w:val="20"/>
        </w:rPr>
        <w:t>Calea</w:t>
      </w:r>
      <w:proofErr w:type="spellEnd"/>
      <w:r w:rsidR="00CB272B">
        <w:rPr>
          <w:rFonts w:ascii="Noto IKEA Latin" w:hAnsi="Noto IKEA Latin"/>
          <w:sz w:val="20"/>
          <w:szCs w:val="20"/>
        </w:rPr>
        <w:t xml:space="preserve"> </w:t>
      </w:r>
      <w:proofErr w:type="spellStart"/>
      <w:r w:rsidR="00CB272B">
        <w:rPr>
          <w:rFonts w:ascii="Noto IKEA Latin" w:hAnsi="Noto IKEA Latin"/>
          <w:sz w:val="20"/>
          <w:szCs w:val="20"/>
        </w:rPr>
        <w:t>Floreasca</w:t>
      </w:r>
      <w:proofErr w:type="spellEnd"/>
      <w:r w:rsidR="00CB272B">
        <w:rPr>
          <w:rFonts w:ascii="Noto IKEA Latin" w:hAnsi="Noto IKEA Latin"/>
          <w:sz w:val="20"/>
          <w:szCs w:val="20"/>
        </w:rPr>
        <w:t xml:space="preserve">, nr.175, </w:t>
      </w:r>
      <w:proofErr w:type="spellStart"/>
      <w:r w:rsidR="00CB272B">
        <w:rPr>
          <w:rFonts w:ascii="Noto IKEA Latin" w:hAnsi="Noto IKEA Latin"/>
          <w:sz w:val="20"/>
          <w:szCs w:val="20"/>
        </w:rPr>
        <w:t>Floreasca</w:t>
      </w:r>
      <w:proofErr w:type="spellEnd"/>
      <w:r w:rsidR="00CB272B">
        <w:rPr>
          <w:rFonts w:ascii="Noto IKEA Latin" w:hAnsi="Noto IKEA Latin"/>
          <w:sz w:val="20"/>
          <w:szCs w:val="20"/>
        </w:rPr>
        <w:t xml:space="preserve"> Tower, </w:t>
      </w:r>
      <w:proofErr w:type="spellStart"/>
      <w:r w:rsidR="00CB272B">
        <w:rPr>
          <w:rFonts w:ascii="Noto IKEA Latin" w:hAnsi="Noto IKEA Latin"/>
          <w:sz w:val="20"/>
          <w:szCs w:val="20"/>
        </w:rPr>
        <w:t>etaj</w:t>
      </w:r>
      <w:proofErr w:type="spellEnd"/>
      <w:r w:rsidR="00CB272B">
        <w:rPr>
          <w:rFonts w:ascii="Noto IKEA Latin" w:hAnsi="Noto IKEA Latin"/>
          <w:sz w:val="20"/>
          <w:szCs w:val="20"/>
        </w:rPr>
        <w:t xml:space="preserve"> 1, </w:t>
      </w:r>
      <w:proofErr w:type="spellStart"/>
      <w:r w:rsidR="00CB272B">
        <w:rPr>
          <w:rFonts w:ascii="Noto IKEA Latin" w:hAnsi="Noto IKEA Latin"/>
          <w:sz w:val="20"/>
          <w:szCs w:val="20"/>
        </w:rPr>
        <w:t>partea</w:t>
      </w:r>
      <w:proofErr w:type="spellEnd"/>
      <w:r w:rsidR="00CB272B">
        <w:rPr>
          <w:rFonts w:ascii="Noto IKEA Latin" w:hAnsi="Noto IKEA Latin"/>
          <w:sz w:val="20"/>
          <w:szCs w:val="20"/>
        </w:rPr>
        <w:t xml:space="preserve"> A, </w:t>
      </w:r>
      <w:proofErr w:type="spellStart"/>
      <w:r w:rsidR="00CB272B">
        <w:rPr>
          <w:rFonts w:ascii="Noto IKEA Latin" w:hAnsi="Noto IKEA Latin"/>
          <w:sz w:val="20"/>
          <w:szCs w:val="20"/>
        </w:rPr>
        <w:t>Bucuresti</w:t>
      </w:r>
      <w:proofErr w:type="spellEnd"/>
      <w:r w:rsidR="00CB272B">
        <w:rPr>
          <w:rFonts w:ascii="Noto IKEA Latin" w:hAnsi="Noto IKEA Latin"/>
          <w:sz w:val="20"/>
          <w:szCs w:val="20"/>
        </w:rPr>
        <w:t>, Sector1</w:t>
      </w:r>
    </w:p>
    <w:p w14:paraId="78A403CC" w14:textId="4732B154" w:rsidR="00E016C5" w:rsidRDefault="00E016C5" w:rsidP="00E016C5">
      <w:pPr>
        <w:rPr>
          <w:rFonts w:ascii="Noto IKEA Latin" w:hAnsi="Noto IKEA Latin"/>
          <w:sz w:val="20"/>
          <w:szCs w:val="20"/>
        </w:rPr>
      </w:pPr>
    </w:p>
    <w:p w14:paraId="7EC9C60B" w14:textId="77777777" w:rsidR="00E016C5" w:rsidRPr="00E016C5" w:rsidRDefault="00E016C5" w:rsidP="00E016C5">
      <w:pPr>
        <w:rPr>
          <w:rFonts w:ascii="Noto IKEA Latin" w:hAnsi="Noto IKEA Latin"/>
          <w:sz w:val="20"/>
          <w:szCs w:val="20"/>
        </w:rPr>
      </w:pPr>
    </w:p>
    <w:sectPr w:rsidR="00E016C5" w:rsidRPr="00E016C5" w:rsidSect="002E7887">
      <w:headerReference w:type="default" r:id="rId13"/>
      <w:footerReference w:type="default" r:id="rId14"/>
      <w:pgSz w:w="11906" w:h="16838"/>
      <w:pgMar w:top="1418" w:right="794" w:bottom="1418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0D6B" w14:textId="77777777" w:rsidR="00676329" w:rsidRDefault="00676329" w:rsidP="00982243">
      <w:r>
        <w:separator/>
      </w:r>
    </w:p>
  </w:endnote>
  <w:endnote w:type="continuationSeparator" w:id="0">
    <w:p w14:paraId="3CF09339" w14:textId="77777777" w:rsidR="00676329" w:rsidRDefault="00676329" w:rsidP="009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7068"/>
    </w:tblGrid>
    <w:tr w:rsidR="00956B41" w:rsidRPr="00E90628" w14:paraId="46E3121E" w14:textId="77777777" w:rsidTr="00AC419C">
      <w:trPr>
        <w:trHeight w:val="983"/>
      </w:trPr>
      <w:tc>
        <w:tcPr>
          <w:tcW w:w="3240" w:type="dxa"/>
        </w:tcPr>
        <w:p w14:paraId="73FDFEA3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GB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GB"/>
            </w:rPr>
            <w:t>EWIND SRL</w:t>
          </w:r>
        </w:p>
        <w:p w14:paraId="721EBAAF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CIF: RO 22160860</w:t>
          </w:r>
        </w:p>
        <w:p w14:paraId="1FECB500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REG. COM.: J13/2480/24.07.2007</w:t>
          </w:r>
        </w:p>
        <w:p w14:paraId="56E88A5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3210983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41ACDABD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ADRESA DE CORESPONDENTA:</w:t>
          </w:r>
        </w:p>
        <w:p w14:paraId="1F504D31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ab/>
          </w:r>
        </w:p>
      </w:tc>
      <w:tc>
        <w:tcPr>
          <w:tcW w:w="7068" w:type="dxa"/>
          <w:hideMark/>
        </w:tcPr>
        <w:p w14:paraId="66AE240B" w14:textId="75C9CDD0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SEDIU SOCIAL: SAT MIHAIL KOGĂLNICEANU, COMUNA MIHAIL KOGĂLNICEANU, ŞOSEAUA DN2A, NR. 7, CAMERA 13, ETAJ 1, JUDET CONSTANŢA</w:t>
          </w:r>
        </w:p>
        <w:p w14:paraId="2636B543" w14:textId="1BA7B517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IBAN: RO94 BACX 0000 0013 7685 3000 UNICREDIT BANK</w:t>
          </w:r>
        </w:p>
        <w:p w14:paraId="60FF65D0" w14:textId="77777777" w:rsidR="00CB4989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</w:p>
        <w:p w14:paraId="1BD49EF6" w14:textId="3819739B" w:rsidR="0011110A" w:rsidRPr="00E90628" w:rsidRDefault="00CB4989" w:rsidP="0011110A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CALEA FLOREASCA NR. 175, FLOREASCA TOWER, PARTEA A, BIROUL NR. 3, ETAJ 1, SECTOR 1, BUCURESTI</w:t>
          </w:r>
          <w:r w:rsidR="0011110A" w:rsidRPr="00E90628">
            <w:rPr>
              <w:b/>
              <w:color w:val="95B3D7" w:themeColor="accent1" w:themeTint="99"/>
              <w:sz w:val="20"/>
              <w:szCs w:val="20"/>
            </w:rPr>
            <w:t>, CP 014459</w:t>
          </w:r>
        </w:p>
      </w:tc>
    </w:tr>
  </w:tbl>
  <w:p w14:paraId="3D8C64AB" w14:textId="77777777" w:rsidR="00B06F2E" w:rsidRPr="00A6355D" w:rsidRDefault="00B06F2E" w:rsidP="0064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26E6" w14:textId="77777777" w:rsidR="00676329" w:rsidRDefault="00676329" w:rsidP="00982243">
      <w:r>
        <w:separator/>
      </w:r>
    </w:p>
  </w:footnote>
  <w:footnote w:type="continuationSeparator" w:id="0">
    <w:p w14:paraId="24FEF854" w14:textId="77777777" w:rsidR="00676329" w:rsidRDefault="00676329" w:rsidP="0098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DFFA" w14:textId="77777777" w:rsidR="00AC03BA" w:rsidRPr="00B24C01" w:rsidRDefault="0083006C" w:rsidP="00AC03BA">
    <w:pPr>
      <w:pStyle w:val="Header"/>
      <w:rPr>
        <w:b/>
        <w:color w:val="95B3D7" w:themeColor="accent1" w:themeTint="99"/>
        <w:lang w:val="en-US"/>
      </w:rPr>
    </w:pPr>
    <w:r w:rsidRPr="0083006C">
      <w:rPr>
        <w:b/>
        <w:noProof/>
        <w:color w:val="244061" w:themeColor="accent1" w:themeShade="80"/>
        <w:lang w:val="en-US"/>
      </w:rPr>
      <w:drawing>
        <wp:inline distT="0" distB="0" distL="0" distR="0" wp14:anchorId="321CC24E" wp14:editId="1456E8FB">
          <wp:extent cx="952500" cy="995976"/>
          <wp:effectExtent l="0" t="0" r="0" b="0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1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5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03BA" w:rsidRPr="0083006C">
      <w:rPr>
        <w:b/>
        <w:color w:val="244061" w:themeColor="accent1" w:themeShade="80"/>
      </w:rPr>
      <w:t xml:space="preserve">   </w:t>
    </w:r>
  </w:p>
  <w:p w14:paraId="0524730F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  <w:p w14:paraId="625EB607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5B"/>
    <w:multiLevelType w:val="hybridMultilevel"/>
    <w:tmpl w:val="79C0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19A"/>
    <w:multiLevelType w:val="hybridMultilevel"/>
    <w:tmpl w:val="A9525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6DB8"/>
    <w:multiLevelType w:val="hybridMultilevel"/>
    <w:tmpl w:val="4C02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45B8"/>
    <w:multiLevelType w:val="hybridMultilevel"/>
    <w:tmpl w:val="D0282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3EA4"/>
    <w:multiLevelType w:val="hybridMultilevel"/>
    <w:tmpl w:val="21E26686"/>
    <w:lvl w:ilvl="0" w:tplc="511054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43"/>
    <w:rsid w:val="000013EA"/>
    <w:rsid w:val="00003288"/>
    <w:rsid w:val="00035FDA"/>
    <w:rsid w:val="0004203C"/>
    <w:rsid w:val="000560F9"/>
    <w:rsid w:val="00063C72"/>
    <w:rsid w:val="00076CFB"/>
    <w:rsid w:val="000A1548"/>
    <w:rsid w:val="000C7EE5"/>
    <w:rsid w:val="000D0D0F"/>
    <w:rsid w:val="000D7207"/>
    <w:rsid w:val="000D7E23"/>
    <w:rsid w:val="00110905"/>
    <w:rsid w:val="0011110A"/>
    <w:rsid w:val="0011183C"/>
    <w:rsid w:val="001249E8"/>
    <w:rsid w:val="001432F4"/>
    <w:rsid w:val="00150667"/>
    <w:rsid w:val="00152466"/>
    <w:rsid w:val="00187819"/>
    <w:rsid w:val="001C530B"/>
    <w:rsid w:val="001E0D34"/>
    <w:rsid w:val="001E0E94"/>
    <w:rsid w:val="001E329E"/>
    <w:rsid w:val="00200564"/>
    <w:rsid w:val="00206DFA"/>
    <w:rsid w:val="00234D5F"/>
    <w:rsid w:val="00240C2C"/>
    <w:rsid w:val="00250C5C"/>
    <w:rsid w:val="00283A4C"/>
    <w:rsid w:val="00284987"/>
    <w:rsid w:val="002B2A51"/>
    <w:rsid w:val="002D6E29"/>
    <w:rsid w:val="002E3E7A"/>
    <w:rsid w:val="002E7887"/>
    <w:rsid w:val="002F7F08"/>
    <w:rsid w:val="00317B65"/>
    <w:rsid w:val="00321C3A"/>
    <w:rsid w:val="00332E51"/>
    <w:rsid w:val="00360E73"/>
    <w:rsid w:val="003A1E23"/>
    <w:rsid w:val="003A59C0"/>
    <w:rsid w:val="003B6FD1"/>
    <w:rsid w:val="003D65B0"/>
    <w:rsid w:val="003F6694"/>
    <w:rsid w:val="004200C8"/>
    <w:rsid w:val="004300A8"/>
    <w:rsid w:val="00433CFB"/>
    <w:rsid w:val="0043436B"/>
    <w:rsid w:val="00436ECB"/>
    <w:rsid w:val="00450047"/>
    <w:rsid w:val="004616BC"/>
    <w:rsid w:val="004D0662"/>
    <w:rsid w:val="004D2E12"/>
    <w:rsid w:val="004E5214"/>
    <w:rsid w:val="005417AA"/>
    <w:rsid w:val="0055258F"/>
    <w:rsid w:val="005556F4"/>
    <w:rsid w:val="0058474B"/>
    <w:rsid w:val="00585700"/>
    <w:rsid w:val="005F4D8C"/>
    <w:rsid w:val="005F7E54"/>
    <w:rsid w:val="00604CBC"/>
    <w:rsid w:val="00622A39"/>
    <w:rsid w:val="006238B5"/>
    <w:rsid w:val="00632CB7"/>
    <w:rsid w:val="00645FF3"/>
    <w:rsid w:val="006473F7"/>
    <w:rsid w:val="00666345"/>
    <w:rsid w:val="00676329"/>
    <w:rsid w:val="0068520D"/>
    <w:rsid w:val="006B7E70"/>
    <w:rsid w:val="006C00D9"/>
    <w:rsid w:val="006D5690"/>
    <w:rsid w:val="006D667F"/>
    <w:rsid w:val="00702129"/>
    <w:rsid w:val="00733355"/>
    <w:rsid w:val="0074575F"/>
    <w:rsid w:val="007719A3"/>
    <w:rsid w:val="00782C2D"/>
    <w:rsid w:val="007B04E5"/>
    <w:rsid w:val="007B05D8"/>
    <w:rsid w:val="007B716D"/>
    <w:rsid w:val="007B7FCA"/>
    <w:rsid w:val="007C1127"/>
    <w:rsid w:val="007D09CC"/>
    <w:rsid w:val="00810EFF"/>
    <w:rsid w:val="0083006C"/>
    <w:rsid w:val="00837D66"/>
    <w:rsid w:val="00847F48"/>
    <w:rsid w:val="00856BDD"/>
    <w:rsid w:val="00871FF8"/>
    <w:rsid w:val="00895E19"/>
    <w:rsid w:val="00897B07"/>
    <w:rsid w:val="008E1912"/>
    <w:rsid w:val="008F3C7D"/>
    <w:rsid w:val="0093161D"/>
    <w:rsid w:val="00934C67"/>
    <w:rsid w:val="009510E0"/>
    <w:rsid w:val="00956B41"/>
    <w:rsid w:val="00974F12"/>
    <w:rsid w:val="00982243"/>
    <w:rsid w:val="009A4D2F"/>
    <w:rsid w:val="009B30A8"/>
    <w:rsid w:val="009B39F1"/>
    <w:rsid w:val="009B3C2D"/>
    <w:rsid w:val="009B42FD"/>
    <w:rsid w:val="009F5BCA"/>
    <w:rsid w:val="00A02EF1"/>
    <w:rsid w:val="00A051BF"/>
    <w:rsid w:val="00A10607"/>
    <w:rsid w:val="00A21DE6"/>
    <w:rsid w:val="00A3149C"/>
    <w:rsid w:val="00A409F0"/>
    <w:rsid w:val="00A529B2"/>
    <w:rsid w:val="00A55AEB"/>
    <w:rsid w:val="00A6355D"/>
    <w:rsid w:val="00A64CA9"/>
    <w:rsid w:val="00A74CB5"/>
    <w:rsid w:val="00A90E05"/>
    <w:rsid w:val="00AB0EF9"/>
    <w:rsid w:val="00AC03BA"/>
    <w:rsid w:val="00AC419C"/>
    <w:rsid w:val="00AD1ED3"/>
    <w:rsid w:val="00AE1817"/>
    <w:rsid w:val="00B06F2E"/>
    <w:rsid w:val="00B22382"/>
    <w:rsid w:val="00B24C01"/>
    <w:rsid w:val="00B85FDA"/>
    <w:rsid w:val="00B8615F"/>
    <w:rsid w:val="00B87246"/>
    <w:rsid w:val="00B924D8"/>
    <w:rsid w:val="00BA3036"/>
    <w:rsid w:val="00BA3DCA"/>
    <w:rsid w:val="00BB105A"/>
    <w:rsid w:val="00BC1ED1"/>
    <w:rsid w:val="00BD127F"/>
    <w:rsid w:val="00BD6B0A"/>
    <w:rsid w:val="00C0546F"/>
    <w:rsid w:val="00C0778E"/>
    <w:rsid w:val="00C13643"/>
    <w:rsid w:val="00C249DD"/>
    <w:rsid w:val="00C271FE"/>
    <w:rsid w:val="00C3099E"/>
    <w:rsid w:val="00C51B3C"/>
    <w:rsid w:val="00C752E3"/>
    <w:rsid w:val="00CB272B"/>
    <w:rsid w:val="00CB32D1"/>
    <w:rsid w:val="00CB4989"/>
    <w:rsid w:val="00CF26A0"/>
    <w:rsid w:val="00CF6937"/>
    <w:rsid w:val="00D12F63"/>
    <w:rsid w:val="00D22797"/>
    <w:rsid w:val="00D3361D"/>
    <w:rsid w:val="00D515A9"/>
    <w:rsid w:val="00D81415"/>
    <w:rsid w:val="00D904D9"/>
    <w:rsid w:val="00D93514"/>
    <w:rsid w:val="00DB438F"/>
    <w:rsid w:val="00DF0137"/>
    <w:rsid w:val="00E00307"/>
    <w:rsid w:val="00E016C5"/>
    <w:rsid w:val="00E07BC6"/>
    <w:rsid w:val="00E11657"/>
    <w:rsid w:val="00E20022"/>
    <w:rsid w:val="00E200B8"/>
    <w:rsid w:val="00E246DC"/>
    <w:rsid w:val="00E444BA"/>
    <w:rsid w:val="00E70AB9"/>
    <w:rsid w:val="00E813E4"/>
    <w:rsid w:val="00E90628"/>
    <w:rsid w:val="00EA61C2"/>
    <w:rsid w:val="00EA7250"/>
    <w:rsid w:val="00EC7568"/>
    <w:rsid w:val="00ED25FD"/>
    <w:rsid w:val="00EE5F14"/>
    <w:rsid w:val="00EF371D"/>
    <w:rsid w:val="00F00983"/>
    <w:rsid w:val="00F11760"/>
    <w:rsid w:val="00F16990"/>
    <w:rsid w:val="00F35315"/>
    <w:rsid w:val="00F35B03"/>
    <w:rsid w:val="00F602A6"/>
    <w:rsid w:val="00F6793C"/>
    <w:rsid w:val="00F850FA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E805"/>
  <w15:docId w15:val="{6FA3BF7E-E787-4AB5-8502-245C45F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BA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602A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982243"/>
  </w:style>
  <w:style w:type="paragraph" w:styleId="Footer">
    <w:name w:val="footer"/>
    <w:basedOn w:val="Normal"/>
    <w:link w:val="Foot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982243"/>
  </w:style>
  <w:style w:type="paragraph" w:styleId="BalloonText">
    <w:name w:val="Balloon Text"/>
    <w:basedOn w:val="Normal"/>
    <w:link w:val="BalloonTextChar"/>
    <w:uiPriority w:val="99"/>
    <w:semiHidden/>
    <w:unhideWhenUsed/>
    <w:rsid w:val="002E7887"/>
    <w:pPr>
      <w:jc w:val="left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F08"/>
    <w:pPr>
      <w:spacing w:after="0" w:line="240" w:lineRule="auto"/>
    </w:pPr>
    <w:rPr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60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47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602A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Emphasis">
    <w:name w:val="Emphasis"/>
    <w:qFormat/>
    <w:rsid w:val="00F602A6"/>
    <w:rPr>
      <w:i/>
      <w:iCs/>
    </w:rPr>
  </w:style>
  <w:style w:type="paragraph" w:styleId="ListParagraph">
    <w:name w:val="List Paragraph"/>
    <w:basedOn w:val="Normal"/>
    <w:uiPriority w:val="34"/>
    <w:qFormat/>
    <w:rsid w:val="00BD6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B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B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1432F4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2F4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wind-furnizar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e5.ro/App/Document/ha4dgobwge3q/legea-nr-226-2021-privind-stabilirea-masurilor-de-protectie-sociala-pentru-consumatorul-vulnerabil-de-energie?d=2021-12-0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3" ma:contentTypeDescription="Create a new document." ma:contentTypeScope="" ma:versionID="f1841cfead80fba9f2174aa4fc823b1f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d56d9bf1eda500455dba1e71af49cad4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DE412-92C1-44FB-A505-2875C1B71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150ED-4FAC-43D1-8219-473C92DF9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3E8FE-3E31-4FA2-B65E-61EA5AA4C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6FFB1-D753-4E02-ABB1-0CE2CB3D6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1f5-b2d6-410e-b56d-56e0a5b3ab69"/>
    <ds:schemaRef ds:uri="3be83dd7-0a57-4112-a5f0-526fd65e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Nombre de la organización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Ana Voicu</cp:lastModifiedBy>
  <cp:revision>32</cp:revision>
  <cp:lastPrinted>2019-10-30T07:53:00Z</cp:lastPrinted>
  <dcterms:created xsi:type="dcterms:W3CDTF">2019-10-21T09:08:00Z</dcterms:created>
  <dcterms:modified xsi:type="dcterms:W3CDTF">2021-12-08T14:39:00Z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0x010100FEB3D8A0264B9F4A965843CA2EE0A2E6</vt:lpwstr>
  </property>
</Properties>
</file>